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after="0" w:before="0"/>
        <w:ind w:firstLine="708"/>
        <w:jc w:val="both"/>
      </w:pPr>
      <w:r>
        <w:rPr>
          <w:rFonts w:ascii="Helvetica" w:hAnsi="Helvetica"/>
          <w:b w:val="1"/>
          <w:color w:val="25353D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1914525" cy="1962150"/>
            <wp:wrapSquare distB="0" distL="114300" distR="114300" distT="0" wrapText="bothSides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flipH="false" flipV="false" rot="0">
                      <a:ext cx="1914525" cy="19621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</w:rPr>
        <w:t xml:space="preserve">С 1 по 30 августа 2021 года </w:t>
      </w:r>
      <w:r>
        <w:rPr>
          <w:b w:val="1"/>
        </w:rPr>
        <w:t>в</w:t>
      </w:r>
      <w:r>
        <w:rPr>
          <w:b w:val="1"/>
        </w:rPr>
        <w:t xml:space="preserve"> Российской Федерации</w:t>
      </w:r>
      <w:r>
        <w:rPr>
          <w:b w:val="1"/>
        </w:rPr>
        <w:t>,</w:t>
      </w:r>
      <w:r>
        <w:rPr>
          <w:b w:val="1"/>
        </w:rPr>
        <w:t xml:space="preserve"> </w:t>
      </w:r>
      <w:r>
        <w:rPr>
          <w:b w:val="1"/>
        </w:rPr>
        <w:t xml:space="preserve">в том числе и на территории Курской области </w:t>
      </w:r>
      <w:r>
        <w:rPr>
          <w:b w:val="1"/>
        </w:rPr>
        <w:t>про</w:t>
      </w:r>
      <w:r>
        <w:rPr>
          <w:b w:val="1"/>
        </w:rPr>
        <w:t>йдет</w:t>
      </w:r>
      <w:r>
        <w:rPr>
          <w:b w:val="1"/>
        </w:rPr>
        <w:t xml:space="preserve"> </w:t>
      </w:r>
      <w:r>
        <w:rPr>
          <w:b w:val="1"/>
        </w:rPr>
        <w:t>сельскохозяйственная</w:t>
      </w:r>
      <w:r>
        <w:rPr>
          <w:b w:val="1"/>
        </w:rPr>
        <w:t xml:space="preserve"> </w:t>
      </w:r>
      <w:r>
        <w:rPr>
          <w:b w:val="1"/>
        </w:rPr>
        <w:t>микроперепись</w:t>
      </w:r>
      <w:r>
        <w:t>.</w:t>
      </w:r>
    </w:p>
    <w:p w14:paraId="02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Федеральным законом от 21 июля 2005 г. №108-ФЗ «О Всероссийской сельскохозяйственной переписи» не позднее, чем через пять лет после очередной сельскохозяйственной переписи, проводится выборочное федеральное статистическое наблюдение (</w:t>
      </w:r>
      <w:r>
        <w:rPr>
          <w:rFonts w:ascii="Times New Roman" w:hAnsi="Times New Roman"/>
          <w:sz w:val="24"/>
        </w:rPr>
        <w:t>сельскохозяйственная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микроперепись</w:t>
      </w:r>
      <w:r>
        <w:rPr>
          <w:rFonts w:ascii="Times New Roman" w:hAnsi="Times New Roman"/>
          <w:sz w:val="24"/>
        </w:rPr>
        <w:t>) в отношении отдельных объектов сельскохозяйственной переписи на основе выборки объемом не менее тридцати  процентов.</w:t>
      </w:r>
    </w:p>
    <w:p w14:paraId="03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проводимой сельскохозяйственной </w:t>
      </w:r>
      <w:r>
        <w:rPr>
          <w:rFonts w:ascii="Times New Roman" w:hAnsi="Times New Roman"/>
          <w:sz w:val="24"/>
        </w:rPr>
        <w:t>микропереписи</w:t>
      </w:r>
      <w:r>
        <w:rPr>
          <w:rFonts w:ascii="Times New Roman" w:hAnsi="Times New Roman"/>
          <w:sz w:val="24"/>
        </w:rPr>
        <w:t xml:space="preserve"> в Курской области будет обследовано:</w:t>
      </w:r>
    </w:p>
    <w:p w14:paraId="04000000">
      <w:pPr>
        <w:numPr>
          <w:ilvl w:val="0"/>
          <w:numId w:val="1"/>
        </w:numPr>
        <w:spacing w:after="0" w:line="240" w:lineRule="auto"/>
        <w:ind w:firstLine="0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212432 личных подсобных и других индивидуальных хозяй</w:t>
      </w:r>
      <w:r>
        <w:rPr>
          <w:rFonts w:ascii="Times New Roman" w:hAnsi="Times New Roman"/>
          <w:sz w:val="24"/>
        </w:rPr>
        <w:t>ств гр</w:t>
      </w:r>
      <w:r>
        <w:rPr>
          <w:rFonts w:ascii="Times New Roman" w:hAnsi="Times New Roman"/>
          <w:sz w:val="24"/>
        </w:rPr>
        <w:t>аждан;</w:t>
      </w:r>
    </w:p>
    <w:p w14:paraId="05000000">
      <w:pPr>
        <w:pStyle w:val="Style_2"/>
        <w:numPr>
          <w:ilvl w:val="0"/>
          <w:numId w:val="1"/>
        </w:numPr>
        <w:spacing w:after="0" w:line="240" w:lineRule="auto"/>
        <w:ind w:firstLine="0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584 сельскохозяйственных организаций;</w:t>
      </w:r>
    </w:p>
    <w:p w14:paraId="06000000">
      <w:pPr>
        <w:pStyle w:val="Style_2"/>
        <w:numPr>
          <w:ilvl w:val="0"/>
          <w:numId w:val="1"/>
        </w:numPr>
        <w:spacing w:after="0" w:line="240" w:lineRule="auto"/>
        <w:ind w:firstLine="0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1102 крестьянских (фермерских) хозяйств и индивидуальных предпринимателей;</w:t>
      </w:r>
    </w:p>
    <w:p w14:paraId="07000000">
      <w:pPr>
        <w:pStyle w:val="Style_2"/>
        <w:numPr>
          <w:ilvl w:val="0"/>
          <w:numId w:val="1"/>
        </w:numPr>
        <w:spacing w:after="0" w:line="240" w:lineRule="auto"/>
        <w:ind w:firstLine="0"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266</w:t>
      </w:r>
      <w:r>
        <w:rPr>
          <w:rFonts w:ascii="Times New Roman" w:hAnsi="Times New Roman"/>
          <w:sz w:val="24"/>
        </w:rPr>
        <w:t xml:space="preserve"> некоммерческих товариществ (садоводческих, огороднических и других).</w:t>
      </w:r>
    </w:p>
    <w:p w14:paraId="08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Сельскохозяйственные организации и крестьянско-фермерские хозяйства обследуются путем </w:t>
      </w:r>
      <w:r>
        <w:rPr>
          <w:rFonts w:ascii="Times New Roman" w:hAnsi="Times New Roman"/>
          <w:sz w:val="24"/>
        </w:rPr>
        <w:t>самозаполнения</w:t>
      </w:r>
      <w:r>
        <w:rPr>
          <w:rFonts w:ascii="Times New Roman" w:hAnsi="Times New Roman"/>
          <w:sz w:val="24"/>
        </w:rPr>
        <w:t xml:space="preserve"> электронных форм отчетности и их передачи в </w:t>
      </w:r>
      <w:r>
        <w:rPr>
          <w:rFonts w:ascii="Times New Roman" w:hAnsi="Times New Roman"/>
          <w:sz w:val="24"/>
        </w:rPr>
        <w:t>Курскстат</w:t>
      </w:r>
      <w:r>
        <w:rPr>
          <w:rFonts w:ascii="Times New Roman" w:hAnsi="Times New Roman"/>
          <w:sz w:val="24"/>
        </w:rPr>
        <w:t xml:space="preserve"> посредством </w:t>
      </w:r>
      <w:r>
        <w:rPr>
          <w:rFonts w:ascii="Times New Roman" w:hAnsi="Times New Roman"/>
          <w:sz w:val="24"/>
        </w:rPr>
        <w:t>вэб-сбора</w:t>
      </w:r>
      <w:r>
        <w:rPr>
          <w:rFonts w:ascii="Times New Roman" w:hAnsi="Times New Roman"/>
          <w:sz w:val="24"/>
        </w:rPr>
        <w:t xml:space="preserve"> или через специализированных операторов связи, также возможно представление отчета на бумажном бланке.</w:t>
      </w:r>
    </w:p>
    <w:p w14:paraId="09000000">
      <w:pPr>
        <w:pStyle w:val="Style_1"/>
        <w:spacing w:after="0" w:before="0"/>
        <w:ind w:firstLine="708"/>
        <w:jc w:val="both"/>
      </w:pPr>
      <w:r>
        <w:t>Личные подсобные и другие индивидуальные хозяйства граждан, а также некоммерческие товарищества (садоводческие, огороднические и другие) обследуются путем опроса переписчиками с использованием планшетных компьютеров.</w:t>
      </w:r>
    </w:p>
    <w:p w14:paraId="0A000000">
      <w:pPr>
        <w:pStyle w:val="Style_1"/>
        <w:spacing w:after="0" w:before="0"/>
        <w:ind w:firstLine="709"/>
        <w:jc w:val="both"/>
      </w:pPr>
      <w:r>
        <w:t>Л</w:t>
      </w:r>
      <w:r>
        <w:t xml:space="preserve">ица, привлекаемые </w:t>
      </w:r>
      <w:r>
        <w:t>Курскстатом</w:t>
      </w:r>
      <w:r>
        <w:t xml:space="preserve"> к проведению</w:t>
      </w:r>
      <w:r>
        <w:rPr>
          <w:spacing w:val="1"/>
        </w:rPr>
        <w:t xml:space="preserve"> </w:t>
      </w:r>
      <w:r>
        <w:t>сельскохозяйственной</w:t>
      </w:r>
      <w:r>
        <w:t xml:space="preserve"> </w:t>
      </w:r>
      <w:r>
        <w:t>микропереписи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районном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полевом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удостоверениями,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</w:t>
      </w:r>
      <w:r>
        <w:t>й</w:t>
      </w:r>
      <w:r>
        <w:t>ствительны</w:t>
      </w:r>
      <w:r>
        <w:rPr>
          <w:spacing w:val="1"/>
        </w:rPr>
        <w:t xml:space="preserve"> </w:t>
      </w:r>
      <w:r>
        <w:t>пр</w:t>
      </w:r>
      <w:r>
        <w:t>и</w:t>
      </w:r>
      <w:r>
        <w:rPr>
          <w:spacing w:val="1"/>
        </w:rPr>
        <w:t xml:space="preserve"> </w:t>
      </w:r>
      <w:r>
        <w:t>предъявлении паспорта</w:t>
      </w:r>
      <w:r>
        <w:t xml:space="preserve">. Переписчик будет одет в специальную экипировку зеленого цвета и бейсболку с эмблемой сельскохозяйственной </w:t>
      </w:r>
      <w:r>
        <w:t>микропереписи</w:t>
      </w:r>
      <w:r>
        <w:t>.</w:t>
      </w:r>
      <w:r>
        <w:t xml:space="preserve"> </w:t>
      </w:r>
      <w:r>
        <w:t xml:space="preserve">В целях противодействия распространению </w:t>
      </w:r>
      <w:r>
        <w:t>COVID</w:t>
      </w:r>
      <w:r>
        <w:t xml:space="preserve">-19 </w:t>
      </w:r>
      <w:r>
        <w:t xml:space="preserve">весь переписной персонал </w:t>
      </w:r>
      <w:r>
        <w:t>буд</w:t>
      </w:r>
      <w:r>
        <w:t>е</w:t>
      </w:r>
      <w:r>
        <w:t>т обеспечен средствами индивидуальной защиты (маски, перчатки дезинфицирующие салфетки)</w:t>
      </w:r>
      <w:r>
        <w:t>.</w:t>
      </w:r>
    </w:p>
    <w:p w14:paraId="0B000000">
      <w:pPr>
        <w:pStyle w:val="Style_1"/>
        <w:spacing w:after="0" w:before="0"/>
        <w:ind w:firstLine="709"/>
        <w:jc w:val="both"/>
      </w:pPr>
      <w:r>
        <w:t xml:space="preserve">Все полученные в ходе </w:t>
      </w:r>
      <w:r>
        <w:t>микропереписи</w:t>
      </w:r>
      <w:r>
        <w:t xml:space="preserve"> данные являются конфиденциальными и будут использованы исключительно для формирования официальной статистической информации в сводном виде </w:t>
      </w:r>
      <w:r>
        <w:rPr>
          <w:color w:val="25353D"/>
        </w:rPr>
        <w:t>и</w:t>
      </w:r>
      <w:r>
        <w:rPr>
          <w:color w:val="25353D"/>
        </w:rPr>
        <w:t xml:space="preserve"> разработки</w:t>
      </w:r>
      <w:r>
        <w:t xml:space="preserve"> мер повышения эффективности сел</w:t>
      </w:r>
      <w:r>
        <w:t>ьскохозяйственного производства.</w:t>
      </w:r>
    </w:p>
    <w:p w14:paraId="0C000000">
      <w:pPr>
        <w:pStyle w:val="Style_1"/>
        <w:spacing w:before="0"/>
        <w:ind w:firstLine="708"/>
        <w:jc w:val="both"/>
        <w:rPr>
          <w:color w:val="25353D"/>
        </w:rPr>
      </w:pPr>
      <w:r>
        <w:rPr>
          <w:color w:val="25353D"/>
        </w:rPr>
        <w:t xml:space="preserve">Дополнительную информацию о </w:t>
      </w:r>
      <w:r>
        <w:rPr>
          <w:color w:val="25353D"/>
        </w:rPr>
        <w:t>сельскохозяйственной</w:t>
      </w:r>
      <w:r>
        <w:rPr>
          <w:color w:val="25353D"/>
        </w:rPr>
        <w:t xml:space="preserve"> </w:t>
      </w:r>
      <w:r>
        <w:rPr>
          <w:color w:val="25353D"/>
        </w:rPr>
        <w:t>микропереписи</w:t>
      </w:r>
      <w:r>
        <w:rPr>
          <w:color w:val="25353D"/>
        </w:rPr>
        <w:t xml:space="preserve"> 2021 года можно получить на </w:t>
      </w:r>
      <w:r>
        <w:rPr>
          <w:color w:val="25353D"/>
        </w:rPr>
        <w:t>интернет-</w:t>
      </w:r>
      <w:r>
        <w:rPr>
          <w:color w:val="25353D"/>
        </w:rPr>
        <w:t xml:space="preserve">сайтах Росстата и </w:t>
      </w:r>
      <w:r>
        <w:rPr>
          <w:color w:val="25353D"/>
        </w:rPr>
        <w:t>Курскстата</w:t>
      </w:r>
      <w:r>
        <w:rPr>
          <w:color w:val="25353D"/>
        </w:rPr>
        <w:t>.</w:t>
      </w:r>
    </w:p>
    <w:p w14:paraId="0D000000">
      <w:pPr>
        <w:ind w:firstLine="0" w:left="0"/>
      </w:pPr>
    </w:p>
    <w:p w14:paraId="0E000000">
      <w:pPr>
        <w:ind w:firstLine="0" w:left="7795"/>
      </w:pPr>
      <w:r>
        <w:t xml:space="preserve">      </w:t>
      </w:r>
      <w:r>
        <w:rPr>
          <w:b w:val="1"/>
        </w:rPr>
        <w:t>Курскстат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lvlJc w:val="left"/>
      <w:pPr>
        <w:ind w:hanging="360" w:left="1428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2148"/>
      </w:pPr>
    </w:lvl>
    <w:lvl w:ilvl="2">
      <w:start w:val="1"/>
      <w:numFmt w:val="lowerRoman"/>
      <w:lvlText w:val="%3."/>
      <w:lvlJc w:val="right"/>
      <w:pPr>
        <w:ind w:hanging="180" w:left="2868"/>
      </w:pPr>
    </w:lvl>
    <w:lvl w:ilvl="3">
      <w:start w:val="1"/>
      <w:numFmt w:val="decimal"/>
      <w:lvlText w:val="%4."/>
      <w:lvlJc w:val="left"/>
      <w:pPr>
        <w:ind w:hanging="360" w:left="3588"/>
      </w:pPr>
    </w:lvl>
    <w:lvl w:ilvl="4">
      <w:start w:val="1"/>
      <w:numFmt w:val="lowerLetter"/>
      <w:lvlText w:val="%5."/>
      <w:lvlJc w:val="left"/>
      <w:pPr>
        <w:ind w:hanging="360" w:left="4308"/>
      </w:pPr>
    </w:lvl>
    <w:lvl w:ilvl="5">
      <w:start w:val="1"/>
      <w:numFmt w:val="lowerRoman"/>
      <w:lvlText w:val="%6."/>
      <w:lvlJc w:val="right"/>
      <w:pPr>
        <w:ind w:hanging="180" w:left="5028"/>
      </w:pPr>
    </w:lvl>
    <w:lvl w:ilvl="6">
      <w:start w:val="1"/>
      <w:numFmt w:val="decimal"/>
      <w:lvlText w:val="%7."/>
      <w:lvlJc w:val="left"/>
      <w:pPr>
        <w:ind w:hanging="360" w:left="5748"/>
      </w:pPr>
    </w:lvl>
    <w:lvl w:ilvl="7">
      <w:start w:val="1"/>
      <w:numFmt w:val="lowerLetter"/>
      <w:lvlText w:val="%8."/>
      <w:lvlJc w:val="left"/>
      <w:pPr>
        <w:ind w:hanging="360" w:left="6468"/>
      </w:pPr>
    </w:lvl>
    <w:lvl w:ilvl="8">
      <w:start w:val="1"/>
      <w:numFmt w:val="lowerRoman"/>
      <w:lvlText w:val="%9."/>
      <w:lvlJc w:val="right"/>
      <w:pPr>
        <w:ind w:hanging="180" w:left="718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Emphasis"/>
    <w:basedOn w:val="Style_7"/>
    <w:link w:val="Style_6_ch"/>
    <w:rPr>
      <w:i w:val="1"/>
    </w:rPr>
  </w:style>
  <w:style w:styleId="Style_6_ch" w:type="character">
    <w:name w:val="Emphasis"/>
    <w:basedOn w:val="Style_7_ch"/>
    <w:link w:val="Style_6"/>
    <w:rPr>
      <w:i w:val="1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  <w:rPr>
      <w:rFonts w:ascii="Calibri" w:hAnsi="Calibri"/>
    </w:rPr>
  </w:style>
  <w:style w:styleId="Style_2_ch" w:type="character">
    <w:name w:val="List Paragraph"/>
    <w:basedOn w:val="Style_3_ch"/>
    <w:link w:val="Style_2"/>
    <w:rPr>
      <w:rFonts w:ascii="Calibri" w:hAnsi="Calibri"/>
    </w:rPr>
  </w:style>
  <w:style w:styleId="Style_8" w:type="paragraph">
    <w:name w:val="toc 6"/>
    <w:next w:val="Style_3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1" w:type="paragraph">
    <w:name w:val="Strong"/>
    <w:basedOn w:val="Style_7"/>
    <w:link w:val="Style_11_ch"/>
    <w:rPr>
      <w:b w:val="1"/>
    </w:rPr>
  </w:style>
  <w:style w:styleId="Style_11_ch" w:type="character">
    <w:name w:val="Strong"/>
    <w:basedOn w:val="Style_7_ch"/>
    <w:link w:val="Style_11"/>
    <w:rPr>
      <w:b w:val="1"/>
    </w:rPr>
  </w:style>
  <w:style w:styleId="Style_12" w:type="paragraph">
    <w:name w:val="toc 3"/>
    <w:next w:val="Style_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7"/>
    <w:link w:val="Style_15_ch"/>
    <w:rPr>
      <w:color w:val="0000FF"/>
      <w:u w:val="single"/>
    </w:rPr>
  </w:style>
  <w:style w:styleId="Style_15_ch" w:type="character">
    <w:name w:val="Hyperlink"/>
    <w:basedOn w:val="Style_7_ch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22" w:type="paragraph">
    <w:name w:val="toc 5"/>
    <w:next w:val="Style_3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3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3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3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2021-07-27T06:26:21Z</dcterms:modified>
</cp:coreProperties>
</file>