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25" w:rsidRPr="00E75525" w:rsidRDefault="00E75525" w:rsidP="00E75525">
      <w:pPr>
        <w:spacing w:before="100" w:beforeAutospacing="1" w:after="100" w:afterAutospacing="1" w:line="240" w:lineRule="auto"/>
        <w:jc w:val="center"/>
        <w:rPr>
          <w:rFonts w:ascii="Arial" w:hAnsi="Arial" w:cs="Arial"/>
          <w:b/>
        </w:rPr>
      </w:pPr>
      <w:bookmarkStart w:id="0" w:name="_GoBack"/>
      <w:bookmarkEnd w:id="0"/>
      <w:r w:rsidRPr="00E75525">
        <w:rPr>
          <w:rFonts w:ascii="Arial" w:hAnsi="Arial" w:cs="Arial"/>
          <w:b/>
        </w:rPr>
        <w:t>Извещение о проведении предварительного отбора</w:t>
      </w:r>
    </w:p>
    <w:p w:rsidR="00E75525" w:rsidRPr="00E75525" w:rsidRDefault="00E75525" w:rsidP="00E75525">
      <w:pPr>
        <w:spacing w:before="100" w:beforeAutospacing="1" w:after="100" w:afterAutospacing="1" w:line="240" w:lineRule="auto"/>
        <w:jc w:val="center"/>
        <w:rPr>
          <w:rFonts w:ascii="Arial" w:hAnsi="Arial" w:cs="Arial"/>
          <w:b/>
        </w:rPr>
      </w:pPr>
      <w:r w:rsidRPr="00E75525">
        <w:rPr>
          <w:rFonts w:ascii="Arial" w:hAnsi="Arial" w:cs="Arial"/>
          <w:b/>
        </w:rPr>
        <w:t>для закупки №0144300041119000001</w:t>
      </w:r>
    </w:p>
    <w:tbl>
      <w:tblPr>
        <w:tblW w:w="5000" w:type="pct"/>
        <w:tblCellMar>
          <w:top w:w="750" w:type="dxa"/>
          <w:left w:w="0" w:type="dxa"/>
          <w:right w:w="0" w:type="dxa"/>
        </w:tblCellMar>
        <w:tblLook w:val="04A0" w:firstRow="1" w:lastRow="0" w:firstColumn="1" w:lastColumn="0" w:noHBand="0" w:noVBand="1"/>
      </w:tblPr>
      <w:tblGrid>
        <w:gridCol w:w="3876"/>
        <w:gridCol w:w="5813"/>
      </w:tblGrid>
      <w:tr w:rsidR="00E75525" w:rsidRPr="00E75525" w:rsidTr="00E75525">
        <w:tc>
          <w:tcPr>
            <w:tcW w:w="2000" w:type="pct"/>
            <w:tcMar>
              <w:top w:w="0" w:type="dxa"/>
              <w:left w:w="0" w:type="dxa"/>
              <w:bottom w:w="0" w:type="dxa"/>
              <w:right w:w="0" w:type="dxa"/>
            </w:tcMar>
            <w:vAlign w:val="center"/>
            <w:hideMark/>
          </w:tcPr>
          <w:p w:rsidR="00E75525" w:rsidRPr="00E75525" w:rsidRDefault="00E75525" w:rsidP="00E75525">
            <w:pPr>
              <w:spacing w:after="0" w:line="240" w:lineRule="auto"/>
              <w:jc w:val="center"/>
              <w:rPr>
                <w:rFonts w:ascii="Arial" w:hAnsi="Arial" w:cs="Arial"/>
                <w:b/>
                <w:bCs/>
                <w:sz w:val="20"/>
                <w:szCs w:val="20"/>
              </w:rPr>
            </w:pPr>
          </w:p>
        </w:tc>
        <w:tc>
          <w:tcPr>
            <w:tcW w:w="3000" w:type="pct"/>
            <w:tcMar>
              <w:top w:w="0" w:type="dxa"/>
              <w:left w:w="0" w:type="dxa"/>
              <w:bottom w:w="0" w:type="dxa"/>
              <w:right w:w="0" w:type="dxa"/>
            </w:tcMar>
            <w:vAlign w:val="center"/>
            <w:hideMark/>
          </w:tcPr>
          <w:p w:rsidR="00E75525" w:rsidRPr="00E75525" w:rsidRDefault="00E75525" w:rsidP="00E75525">
            <w:pPr>
              <w:spacing w:after="0" w:line="240" w:lineRule="auto"/>
              <w:jc w:val="center"/>
              <w:rPr>
                <w:rFonts w:ascii="Arial" w:hAnsi="Arial" w:cs="Arial"/>
                <w:b/>
                <w:bCs/>
                <w:sz w:val="20"/>
                <w:szCs w:val="20"/>
              </w:rPr>
            </w:pP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b/>
                <w:bCs/>
                <w:sz w:val="20"/>
                <w:szCs w:val="20"/>
              </w:rPr>
              <w:t>Общая информация</w:t>
            </w:r>
          </w:p>
        </w:tc>
        <w:tc>
          <w:tcPr>
            <w:tcW w:w="0" w:type="auto"/>
            <w:tcMar>
              <w:top w:w="0" w:type="dxa"/>
              <w:left w:w="0" w:type="dxa"/>
              <w:bottom w:w="0" w:type="dxa"/>
              <w:right w:w="0" w:type="dxa"/>
            </w:tcMar>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b/>
                <w:sz w:val="20"/>
                <w:szCs w:val="20"/>
              </w:rPr>
            </w:pPr>
            <w:r w:rsidRPr="00E75525">
              <w:rPr>
                <w:rFonts w:ascii="Arial" w:hAnsi="Arial" w:cs="Arial"/>
                <w:b/>
                <w:sz w:val="20"/>
                <w:szCs w:val="20"/>
              </w:rPr>
              <w:t>Номер извещения</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b/>
                <w:sz w:val="20"/>
                <w:szCs w:val="20"/>
              </w:rPr>
            </w:pPr>
            <w:r w:rsidRPr="00E75525">
              <w:rPr>
                <w:rFonts w:ascii="Arial" w:hAnsi="Arial" w:cs="Arial"/>
                <w:b/>
                <w:sz w:val="20"/>
                <w:szCs w:val="20"/>
              </w:rPr>
              <w:t>0144300041119000001</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Наименование объекта закупки</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путем проведения запроса котировок на поставку товаров необходимых для оказания гуманитарной помощи либо ликвидации последствий чрезвычайных ситуаций природного или техногенного характера на территории Советского сельсовета Советского района Курской области на 2019 год.</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Способ определения поставщика (подрядчика, исполнителя)</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Предварительный отбор</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Размещение осуществляет</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Заказчик</w:t>
            </w:r>
            <w:r w:rsidRPr="00E75525">
              <w:rPr>
                <w:rFonts w:ascii="Arial" w:hAnsi="Arial" w:cs="Arial"/>
                <w:sz w:val="20"/>
                <w:szCs w:val="20"/>
              </w:rPr>
              <w:br/>
              <w:t>АДМИНИСТРАЦИЯ СОВЕТСКОГО СЕЛЬСОВЕТА СОВЕТСКОГО РАЙОНА КУРСКОЙ ОБЛАСТИ</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b/>
                <w:bCs/>
                <w:sz w:val="20"/>
                <w:szCs w:val="20"/>
              </w:rPr>
              <w:t>Контактная информация</w:t>
            </w:r>
          </w:p>
        </w:tc>
        <w:tc>
          <w:tcPr>
            <w:tcW w:w="0" w:type="auto"/>
            <w:tcMar>
              <w:top w:w="0" w:type="dxa"/>
              <w:left w:w="0" w:type="dxa"/>
              <w:bottom w:w="0" w:type="dxa"/>
              <w:right w:w="0" w:type="dxa"/>
            </w:tcMar>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Наименование организации</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АДМИНИСТРАЦИЯ СОВЕТСКОГО СЕЛЬСОВЕТА СОВЕТСКОГО РАЙОНА КУРСКОЙ ОБЛАСТИ</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Почтовый адрес</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Российская Федерация, 306600, Курская обл, Советский р-н, Дицево д</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Место нахождения</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Российская Федерация, 306600, Курская обл, Советский р-н, Дицево д</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Ответственное должностное лицо</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Петров Николай Тимофеевич</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Адрес электронной почты</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sel_sovetskiy@bk.ru</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Номер контактного телефона</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7-47158-35238</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Факс</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Информация отсутствует</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Информация о контрактной службе, контрактном управляющем</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Миронова Наталья Алексеевна. e-mail: sel_sovetskiy@bk.ru тел. +7 (47158) 3-52-38 </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Дополнительная информация</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Информация отсутствует</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b/>
                <w:bCs/>
                <w:sz w:val="20"/>
                <w:szCs w:val="20"/>
              </w:rPr>
              <w:t>Порядок проведения предварительного отбора</w:t>
            </w:r>
          </w:p>
        </w:tc>
        <w:tc>
          <w:tcPr>
            <w:tcW w:w="0" w:type="auto"/>
            <w:tcMar>
              <w:top w:w="0" w:type="dxa"/>
              <w:left w:w="0" w:type="dxa"/>
              <w:bottom w:w="0" w:type="dxa"/>
              <w:right w:w="0" w:type="dxa"/>
            </w:tcMar>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Дата и время начала срока подачи заявок на участие в предварительном отборе</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19.03.2019 08:00</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lastRenderedPageBreak/>
              <w:t>Дата и время окончания срока подачи заявок на участие в предварительном отборе</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08.04.2019 17:00</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Место подачи заявок на участие в предварительном отборе</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306600, Курская область, Советский район, д. Дицево. Рабочие дни с 08-00 до 17-00 часов (перерыв на обед с 12-00 до 13-00) до даты окончания срока подачи заявок. </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Порядок подачи заявок на участие в предварительном отборе</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Заявка на участие в предварительном отборе подается Заказчику в письменной форме в запечатанном конверте, не позволяющем просматривать содержание такой заявки до вскрытия конверта. На конверте указывается номер и дата извещения о проведении предварительного отбора, на участие в котором подается данная заявка. Любой участник закупки вправе подать только одну заявку на участие в предварительном отборе. В случае установления факта подачи одним участником двух и более заявок на участие в предварительном отборе при условии, что поданные ранее такие заявки этим участником не отозваны, все заявки на участие в предварительном отборе, поданные этим участником, не рассматриваются и возвращаются ему.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выдаёт расписку в ее получении с указанием даты и времени ее получения. Участники предварительного отбора, согласно статьи 27 Федерального закона от 05.04.2013 № 44-ФЗ, имеют право выступать в отношениях, связанных с осуществлением предварительного отбора, как непосредственно, так и через своих представителей. Полномочия представителей участников предварительного отбора подтверждаются доверенностью, выданной и оформленной в соответствии с гражданским законодательством. Участник предварительного отбора при отправке заявки на участие по почте, несёт риск того, что его заявка на участие в предварительном отборе будет доставлена по неправильному адресу и/или после окончания приёма заявок на участие в предварительном отборе.</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Форма заявки на участие в предварительном отборе</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В письменном виде на бумажном носителе, по прилагаемой форме (Приложение № 1 к документации о проведении предварительного отбора).</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Дата и время проведения предварительного отбора</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09.04.2019 11:00</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Место проведения предварительного отбора</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306600, Курская область, Советский район, д. Дицево (здание администрации сельского совета). </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Срок, в течение которого победитель запроса котировок или иной участник запроса котировок, с которыми заключается контракт при уклонении победителя от заключения контракта, должен подписать контракт</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Контракт заключается не ранее чем через семь дней с даты размещения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Условия признания победителя запроса котировок или иного участника запроса </w:t>
            </w:r>
            <w:r w:rsidRPr="00E75525">
              <w:rPr>
                <w:rFonts w:ascii="Arial" w:hAnsi="Arial" w:cs="Arial"/>
                <w:sz w:val="20"/>
                <w:szCs w:val="20"/>
              </w:rPr>
              <w:lastRenderedPageBreak/>
              <w:t>котировок уклонившимся от заключения контракта</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lastRenderedPageBreak/>
              <w:t xml:space="preserve">Если победитель запроса котировок или иной участник запроса котировок, с которым заключается контракт в случае </w:t>
            </w:r>
            <w:r w:rsidRPr="00E75525">
              <w:rPr>
                <w:rFonts w:ascii="Arial" w:hAnsi="Arial" w:cs="Arial"/>
                <w:sz w:val="20"/>
                <w:szCs w:val="20"/>
              </w:rPr>
              <w:lastRenderedPageBreak/>
              <w:t>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контракт, такой победитель запроса котировок или иной участник запроса котировок признается уклонившимися от заключения контракта.</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b/>
                <w:bCs/>
                <w:sz w:val="20"/>
                <w:szCs w:val="20"/>
              </w:rPr>
              <w:lastRenderedPageBreak/>
              <w:t xml:space="preserve">Условия контракта </w:t>
            </w:r>
          </w:p>
        </w:tc>
        <w:tc>
          <w:tcPr>
            <w:tcW w:w="0" w:type="auto"/>
            <w:tcMar>
              <w:top w:w="0" w:type="dxa"/>
              <w:left w:w="0" w:type="dxa"/>
              <w:bottom w:w="0" w:type="dxa"/>
              <w:right w:w="0" w:type="dxa"/>
            </w:tcMar>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Идентификационный код закупки</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193462100004046210100100000010000000</w:t>
            </w:r>
          </w:p>
        </w:tc>
      </w:tr>
      <w:tr w:rsidR="00E75525" w:rsidRPr="00E75525" w:rsidTr="00E75525">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Информация о необходимости без предварительной оплаты и (или) с отсрочкой платежа осуществить поставки товаров, выполнение работ, оказания услуг в возможно короткий срок </w:t>
            </w:r>
          </w:p>
        </w:tc>
        <w:tc>
          <w:tcPr>
            <w:tcW w:w="0" w:type="auto"/>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Установлено. Участники предварительного отбора без предварительной оплаты и (или) с отсрочкой платежа должны осуществить поставки товаров в возможно короткий срок.</w:t>
            </w:r>
          </w:p>
        </w:tc>
      </w:tr>
      <w:tr w:rsidR="00E75525" w:rsidRPr="00E75525" w:rsidTr="00E75525">
        <w:tc>
          <w:tcPr>
            <w:tcW w:w="0" w:type="auto"/>
            <w:gridSpan w:val="2"/>
            <w:tcMar>
              <w:top w:w="0" w:type="dxa"/>
              <w:left w:w="0" w:type="dxa"/>
              <w:bottom w:w="0" w:type="dxa"/>
              <w:right w:w="0" w:type="dxa"/>
            </w:tcMar>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b/>
                <w:bCs/>
                <w:sz w:val="20"/>
                <w:szCs w:val="20"/>
              </w:rPr>
              <w:t>Объект закупки</w:t>
            </w:r>
          </w:p>
        </w:tc>
      </w:tr>
      <w:tr w:rsidR="00E75525" w:rsidRPr="00E75525" w:rsidTr="00E75525">
        <w:tc>
          <w:tcPr>
            <w:tcW w:w="0" w:type="auto"/>
            <w:gridSpan w:val="2"/>
            <w:tcMar>
              <w:top w:w="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952"/>
              <w:gridCol w:w="1282"/>
              <w:gridCol w:w="2265"/>
              <w:gridCol w:w="940"/>
              <w:gridCol w:w="1125"/>
              <w:gridCol w:w="1125"/>
            </w:tblGrid>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Наименование товара, работы, услуги по КТРУ</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Код позиции</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Характеристики товара, работы, услуги</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Единица измерения</w:t>
                  </w: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b/>
                      <w:bCs/>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b/>
                      <w:bCs/>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Наименование</w:t>
                  </w:r>
                </w:p>
              </w:tc>
              <w:tc>
                <w:tcPr>
                  <w:tcW w:w="0" w:type="auto"/>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Значение</w:t>
                  </w:r>
                </w:p>
              </w:tc>
              <w:tc>
                <w:tcPr>
                  <w:tcW w:w="0" w:type="auto"/>
                  <w:tcBorders>
                    <w:top w:val="nil"/>
                    <w:left w:val="nil"/>
                    <w:bottom w:val="nil"/>
                    <w:right w:val="nil"/>
                  </w:tcBorders>
                  <w:vAlign w:val="center"/>
                  <w:hideMark/>
                </w:tcPr>
                <w:p w:rsidR="00E75525" w:rsidRPr="00E75525" w:rsidRDefault="00E75525" w:rsidP="00E75525">
                  <w:pPr>
                    <w:spacing w:after="0" w:line="240" w:lineRule="auto"/>
                    <w:jc w:val="center"/>
                    <w:rPr>
                      <w:rFonts w:ascii="Arial" w:hAnsi="Arial" w:cs="Arial"/>
                      <w:b/>
                      <w:bCs/>
                      <w:sz w:val="20"/>
                      <w:szCs w:val="20"/>
                    </w:rPr>
                  </w:pPr>
                  <w:r w:rsidRPr="00E75525">
                    <w:rPr>
                      <w:rFonts w:ascii="Arial" w:hAnsi="Arial" w:cs="Arial"/>
                      <w:b/>
                      <w:bCs/>
                      <w:sz w:val="20"/>
                      <w:szCs w:val="20"/>
                    </w:rPr>
                    <w:t>Единица измерения</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b/>
                      <w:bCs/>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Чай черный (ферментированный)</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10.83.13.120-00000003</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Тип листа чая черного (ферментированного)</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 xml:space="preserve">Средний </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Вид чая черного (ферментированного) по способу обработки листа</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 xml:space="preserve">Листовой </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Топливозаправочные работы (бензин, дизельное топливо, газ)</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45.20.11.515</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Дизельное топливо</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Мыло хозяйственное твердое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20.41.31.120-00000004</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Наличие антибактериального компонента</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Да</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Группа мыла</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I</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Лейкопластырь стандартный</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21.20.24.110-00000002</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Бинт марлевый, стерильный</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21.20.24.131-00000002</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Бинт марлевый, стерильный</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21.20.24.131-00000002</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Капуста белокочанная</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01.13.12.120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Морковь столовая</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01.13.41.110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Лук репчатый</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01.13.43.110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Свекла столовая</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01.13.49.110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Картофель столовый поздний</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01.13.51.120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Свинина парная, остывшая или охлажденная домашних свиней</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10.11.12.110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Мясо рыбы прочее (включая фарш) свежее или охлажденное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10.20.11.120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Жиры и масла животные прочие и их фракции, нерафинированные или рафинированные, но не подвергнутые химической модификации</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10.41.19.000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lastRenderedPageBreak/>
                    <w:t>Молоко прочее, не включенное в другие группировки</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10.51.11.190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Крупа из зерновых культур, не включенная в другие группировки</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10.61.32.110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Изделия макаронные прочие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10.73.11.190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Сахар белый свекловичный в твердом состоянии без вкусоароматических или красящих добавок</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10.81.12.110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Соль пищевая дробленая</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10.84.30.110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Марля медицинская</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13.20.44.120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Марля отбеленная гигроскопическая, медицинская</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Мешки спальные пухо-перовые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13.92.24.151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Вата медицинская гигроскопическая</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13.99.19.111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Вата стерильная расфасованная</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Костюмы мужские производственные и профессиональные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14.12.11.120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 xml:space="preserve">размер 50 кт. 5 52 кт. 5 54 кт. 10 56 кт. 15 </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Куртки производственные и профессиональные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14.12.30.120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 xml:space="preserve">размер 50 шт. 5 52 шт. 5 54 шт. 10 56 шт. 15 </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Рукавицы, перчатки производственные и профессиональные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14.12.30.150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Перчатки рабочие 50 пар</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Рукавицы, перчатки производственные и профессиональные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14.12.30.150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Костюмы защитные легкие для защиты от радиационной пыли, химических и бактериологических воздействий</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14.12.30.160-00000447</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Типоразмер</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3</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Ткань костюма</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Т-15</w:t>
                  </w:r>
                </w:p>
              </w:tc>
              <w:tc>
                <w:tcPr>
                  <w:tcW w:w="0" w:type="auto"/>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Уборы головные трикотажные или вязаные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14.19.42.160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Сапоги резиновые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15.20.11.113</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Пиломатериалы профилированные из сосны</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16.10.21.111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Доска необрезная</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Топливозаправочные работы (бензин, дизельное топливо, газ)</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45.20.11.515</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Дизельное топливо</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Керосины осветительные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19.20.24.120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Йод</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20.13.21.120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Раствор йода 5% спиртовой</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Аммиак</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20.15.10.130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Порошки стиральные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20.41.32.121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Хлорамфеникол (левомицетин) и его производные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21.10.54.140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Левомицетин табл.</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Препараты для лечения заболеваний сердца</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21.20.10.141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Валидол табл</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 xml:space="preserve">Препараты для лечения </w:t>
                  </w:r>
                  <w:r w:rsidRPr="00E75525">
                    <w:rPr>
                      <w:rFonts w:ascii="Arial" w:hAnsi="Arial" w:cs="Arial"/>
                      <w:sz w:val="20"/>
                      <w:szCs w:val="20"/>
                    </w:rPr>
                    <w:lastRenderedPageBreak/>
                    <w:t>заболеваний сердца</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lastRenderedPageBreak/>
                    <w:t>21.20.10.141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Нитроглицерин</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Антисептики и дезинфицирующие препараты</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21.20.10.158</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Калия перманганат</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Антисептики и дезинфицирующие препараты прочие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21.20.10.159</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Бриллиантовая зелень</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Препараты антибактериальные для системного использования</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21.20.10.191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Перекись водорода</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Препараты противовоспалительные и противоревматические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21.20.10.221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Препараты для лечения заболеваний нервной системы прочие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21.20.10.239</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Корвалол</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Препараты для лечения заболеваний глаз и уха</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21.20.10.263</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Сульфацил натрия</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Пленки пластмассовые, неармированные или не комбинированные с другими материалами</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22.21.30.120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Пленка ПХВ</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Посуда столовая и кухонная пластмассовая</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22.29.23.110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Стекло листовое бесцветное марки М1</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23.11.11.120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Портландцемент с минеральными добавками</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23.51.12.112</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Листы асбестоцементные кровельные волнистые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23.65.12.111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Материалы рулонные кровельные и гидроизоляционные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23.99.12.110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Полуфабрикаты прочие из прочих легированных сталей</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24.10.23.190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Металлопрокат</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Трубы стальные бесшовные горячедеформированные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24.20.13.110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Трубы разного диаметра</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Гвозди строительные</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25.93.14.111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Светильники и осветительные устройства неэлектрические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27.40.23.000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Лампы керосиновые</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Инструменты и приспособления, применяемые в медицинских целях, прочие, не включенные в другие группировки</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32.50.13.190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Мензурка медицинская</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Изделия медицинские, в том числе хирургические, прочие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32.50.50.000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Жгут</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Респираторы</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32.99.11.120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Респиратор «Лепесток»</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Мука пшеничная хлебопекарная второго сорта</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10.61.21.115</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lastRenderedPageBreak/>
                    <w:t>Хлеб недлительного хранения из пшеничной муки</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10.71.11.111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Хлеб недлительного хранения из ржаной и смеси ржаной и пшеничной муки</w:t>
                  </w: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10.71.11.112</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Инструмент ручной, используемый в сельском хозяйстве, садоводстве или лесном хозяйстве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25.73.10.000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Ломы обыкновенные</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Пилы ручные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25.73.20.110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Пилы поперечные</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Инструмент, работающий ударом</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25.73.30.140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Топоры плотничные</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Лопаты строительные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25.99.29.121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Лопаты совковые</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Лопаты строительные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25.99.29.121</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Лопаты штыковые</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Установки генераторные с двигателями внутреннего сгорания с воспламенением от сжатия</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27.11.31.000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Дизель-генератор</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Насосы прочие</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28.13.14.190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Мотопомпа</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Инструменты ручные прочие с механизированным приводом, не включенные в другие группировки</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28.24.12.190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Бензопилы</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Огнетушители</w:t>
                  </w: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28.29.22.110</w:t>
                  </w:r>
                </w:p>
              </w:tc>
              <w:tc>
                <w:tcPr>
                  <w:tcW w:w="0" w:type="auto"/>
                  <w:gridSpan w:val="3"/>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val="restart"/>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c>
                <w:tcPr>
                  <w:tcW w:w="0" w:type="auto"/>
                  <w:gridSpan w:val="3"/>
                  <w:tcBorders>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Ранцевые огнетушители</w:t>
                  </w:r>
                </w:p>
              </w:tc>
              <w:tc>
                <w:tcPr>
                  <w:tcW w:w="0" w:type="auto"/>
                  <w:vMerge/>
                  <w:tcBorders>
                    <w:top w:val="nil"/>
                    <w:left w:val="nil"/>
                    <w:bottom w:val="nil"/>
                    <w:right w:val="nil"/>
                  </w:tcBorders>
                  <w:vAlign w:val="center"/>
                  <w:hideMark/>
                </w:tcPr>
                <w:p w:rsidR="00E75525" w:rsidRPr="00E75525" w:rsidRDefault="00E75525" w:rsidP="00E75525">
                  <w:pPr>
                    <w:spacing w:after="0" w:line="240" w:lineRule="auto"/>
                    <w:rPr>
                      <w:rFonts w:ascii="Arial" w:hAnsi="Arial" w:cs="Arial"/>
                      <w:sz w:val="20"/>
                      <w:szCs w:val="20"/>
                    </w:rPr>
                  </w:pPr>
                </w:p>
              </w:tc>
            </w:tr>
          </w:tbl>
          <w:p w:rsidR="00E75525" w:rsidRPr="00E75525" w:rsidRDefault="00E75525" w:rsidP="00E75525">
            <w:pPr>
              <w:spacing w:after="0" w:line="240" w:lineRule="auto"/>
              <w:rPr>
                <w:rFonts w:ascii="Arial" w:hAnsi="Arial" w:cs="Arial"/>
                <w:sz w:val="20"/>
                <w:szCs w:val="20"/>
              </w:rPr>
            </w:pPr>
          </w:p>
        </w:tc>
      </w:tr>
      <w:tr w:rsidR="00E75525" w:rsidRPr="00E75525" w:rsidTr="00E75525">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b/>
                <w:bCs/>
                <w:sz w:val="20"/>
                <w:szCs w:val="20"/>
              </w:rPr>
              <w:lastRenderedPageBreak/>
              <w:t>Преимущества и требования к участникам</w:t>
            </w:r>
          </w:p>
        </w:tc>
        <w:tc>
          <w:tcPr>
            <w:tcW w:w="0" w:type="auto"/>
            <w:vAlign w:val="center"/>
            <w:hideMark/>
          </w:tcPr>
          <w:p w:rsidR="00E75525" w:rsidRPr="00E75525" w:rsidRDefault="00E75525" w:rsidP="00E75525">
            <w:pPr>
              <w:spacing w:after="0" w:line="240" w:lineRule="auto"/>
              <w:rPr>
                <w:rFonts w:ascii="Arial" w:hAnsi="Arial" w:cs="Arial"/>
                <w:sz w:val="20"/>
                <w:szCs w:val="20"/>
              </w:rPr>
            </w:pPr>
          </w:p>
        </w:tc>
      </w:tr>
      <w:tr w:rsidR="00E75525" w:rsidRPr="00E75525" w:rsidTr="00E75525">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Преимущества</w:t>
            </w:r>
          </w:p>
        </w:tc>
        <w:tc>
          <w:tcPr>
            <w:tcW w:w="0" w:type="auto"/>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sz w:val="20"/>
                <w:szCs w:val="20"/>
              </w:rPr>
              <w:t>Не установлены</w:t>
            </w:r>
          </w:p>
        </w:tc>
      </w:tr>
      <w:tr w:rsidR="00E75525" w:rsidRPr="00E75525" w:rsidTr="00E75525">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Требования к участникам</w:t>
            </w:r>
          </w:p>
        </w:tc>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1 Единые требования к участникам (в соответствии с частью 1 Статьи 31 Федерального закона № 44-ФЗ) </w:t>
            </w:r>
          </w:p>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установлены согласно п. 22. информационной карты документации о проведении предварительного отбора.</w:t>
            </w:r>
          </w:p>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2 Требования к участникам закупок в соответствии с частью 1.1 статьи 31 Федерального закона № 44-ФЗ </w:t>
            </w:r>
          </w:p>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E75525">
              <w:rPr>
                <w:rFonts w:ascii="Arial" w:hAnsi="Arial" w:cs="Arial"/>
                <w:sz w:val="20"/>
                <w:szCs w:val="20"/>
              </w:rPr>
              <w:lastRenderedPageBreak/>
              <w:t>закупки – юридического лица.</w:t>
            </w:r>
          </w:p>
        </w:tc>
      </w:tr>
      <w:tr w:rsidR="00E75525" w:rsidRPr="00E75525" w:rsidTr="00E75525">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lastRenderedPageBreak/>
              <w:t>Ограничения</w:t>
            </w:r>
          </w:p>
        </w:tc>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Не установлены</w:t>
            </w:r>
          </w:p>
        </w:tc>
      </w:tr>
      <w:tr w:rsidR="00E75525" w:rsidRPr="00E75525" w:rsidTr="00E75525">
        <w:tc>
          <w:tcPr>
            <w:tcW w:w="0" w:type="auto"/>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b/>
                <w:bCs/>
                <w:sz w:val="20"/>
                <w:szCs w:val="20"/>
              </w:rPr>
              <w:t>Дополнительная информация</w:t>
            </w:r>
          </w:p>
        </w:tc>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Информация отсутствует</w:t>
            </w:r>
          </w:p>
        </w:tc>
      </w:tr>
      <w:tr w:rsidR="00E75525" w:rsidRPr="00E75525" w:rsidTr="00E75525">
        <w:tc>
          <w:tcPr>
            <w:tcW w:w="0" w:type="auto"/>
            <w:vAlign w:val="center"/>
            <w:hideMark/>
          </w:tcPr>
          <w:p w:rsidR="00E75525" w:rsidRPr="00E75525" w:rsidRDefault="00E75525" w:rsidP="00E75525">
            <w:pPr>
              <w:spacing w:after="0" w:line="240" w:lineRule="auto"/>
              <w:rPr>
                <w:rFonts w:ascii="Arial" w:hAnsi="Arial" w:cs="Arial"/>
                <w:sz w:val="20"/>
                <w:szCs w:val="20"/>
              </w:rPr>
            </w:pPr>
            <w:r w:rsidRPr="00E75525">
              <w:rPr>
                <w:rFonts w:ascii="Arial" w:hAnsi="Arial" w:cs="Arial"/>
                <w:b/>
                <w:bCs/>
                <w:sz w:val="20"/>
                <w:szCs w:val="20"/>
              </w:rPr>
              <w:t>Перечень прикрепленных документов</w:t>
            </w:r>
          </w:p>
        </w:tc>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1 Документация о предварительном отборе Советский сс</w:t>
            </w:r>
          </w:p>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2 № 23 О внесении измен.</w:t>
            </w:r>
          </w:p>
        </w:tc>
      </w:tr>
      <w:tr w:rsidR="00E75525" w:rsidRPr="00E75525" w:rsidTr="00E75525">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E75525" w:rsidRPr="00E75525" w:rsidRDefault="00E75525" w:rsidP="00E75525">
            <w:pPr>
              <w:spacing w:before="100" w:beforeAutospacing="1" w:after="100" w:afterAutospacing="1" w:line="240" w:lineRule="auto"/>
              <w:rPr>
                <w:rFonts w:ascii="Arial" w:hAnsi="Arial" w:cs="Arial"/>
                <w:sz w:val="20"/>
                <w:szCs w:val="20"/>
              </w:rPr>
            </w:pPr>
            <w:r w:rsidRPr="00E75525">
              <w:rPr>
                <w:rFonts w:ascii="Arial" w:hAnsi="Arial" w:cs="Arial"/>
                <w:sz w:val="20"/>
                <w:szCs w:val="20"/>
              </w:rPr>
              <w:t>18.03.2019 12:15</w:t>
            </w:r>
          </w:p>
        </w:tc>
      </w:tr>
    </w:tbl>
    <w:p w:rsidR="00480166" w:rsidRPr="00E75525" w:rsidRDefault="00480166">
      <w:pPr>
        <w:rPr>
          <w:rFonts w:ascii="Arial" w:hAnsi="Arial" w:cs="Arial"/>
          <w:sz w:val="20"/>
          <w:szCs w:val="20"/>
        </w:rPr>
      </w:pPr>
    </w:p>
    <w:sectPr w:rsidR="00480166" w:rsidRPr="00E755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25"/>
    <w:rsid w:val="00480166"/>
    <w:rsid w:val="008E2D55"/>
    <w:rsid w:val="00E7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12823A-8CBD-4016-A1FC-65E53657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060969">
      <w:marLeft w:val="0"/>
      <w:marRight w:val="0"/>
      <w:marTop w:val="0"/>
      <w:marBottom w:val="0"/>
      <w:divBdr>
        <w:top w:val="none" w:sz="0" w:space="0" w:color="auto"/>
        <w:left w:val="none" w:sz="0" w:space="0" w:color="auto"/>
        <w:bottom w:val="none" w:sz="0" w:space="0" w:color="auto"/>
        <w:right w:val="none" w:sz="0" w:space="0" w:color="auto"/>
      </w:divBdr>
      <w:divsChild>
        <w:div w:id="1961060973">
          <w:marLeft w:val="0"/>
          <w:marRight w:val="0"/>
          <w:marTop w:val="0"/>
          <w:marBottom w:val="0"/>
          <w:divBdr>
            <w:top w:val="none" w:sz="0" w:space="0" w:color="auto"/>
            <w:left w:val="none" w:sz="0" w:space="0" w:color="auto"/>
            <w:bottom w:val="none" w:sz="0" w:space="0" w:color="auto"/>
            <w:right w:val="none" w:sz="0" w:space="0" w:color="auto"/>
          </w:divBdr>
          <w:divsChild>
            <w:div w:id="1961060970">
              <w:marLeft w:val="0"/>
              <w:marRight w:val="0"/>
              <w:marTop w:val="0"/>
              <w:marBottom w:val="0"/>
              <w:divBdr>
                <w:top w:val="none" w:sz="0" w:space="0" w:color="auto"/>
                <w:left w:val="none" w:sz="0" w:space="0" w:color="auto"/>
                <w:bottom w:val="none" w:sz="0" w:space="0" w:color="auto"/>
                <w:right w:val="none" w:sz="0" w:space="0" w:color="auto"/>
              </w:divBdr>
              <w:divsChild>
                <w:div w:id="1961060975">
                  <w:marLeft w:val="0"/>
                  <w:marRight w:val="0"/>
                  <w:marTop w:val="0"/>
                  <w:marBottom w:val="0"/>
                  <w:divBdr>
                    <w:top w:val="none" w:sz="0" w:space="0" w:color="auto"/>
                    <w:left w:val="none" w:sz="0" w:space="0" w:color="auto"/>
                    <w:bottom w:val="none" w:sz="0" w:space="0" w:color="auto"/>
                    <w:right w:val="none" w:sz="0" w:space="0" w:color="auto"/>
                  </w:divBdr>
                  <w:divsChild>
                    <w:div w:id="1961060974">
                      <w:marLeft w:val="0"/>
                      <w:marRight w:val="0"/>
                      <w:marTop w:val="0"/>
                      <w:marBottom w:val="0"/>
                      <w:divBdr>
                        <w:top w:val="none" w:sz="0" w:space="0" w:color="auto"/>
                        <w:left w:val="none" w:sz="0" w:space="0" w:color="auto"/>
                        <w:bottom w:val="none" w:sz="0" w:space="0" w:color="auto"/>
                        <w:right w:val="none" w:sz="0" w:space="0" w:color="auto"/>
                      </w:divBdr>
                      <w:divsChild>
                        <w:div w:id="1961060972">
                          <w:marLeft w:val="0"/>
                          <w:marRight w:val="0"/>
                          <w:marTop w:val="0"/>
                          <w:marBottom w:val="0"/>
                          <w:divBdr>
                            <w:top w:val="none" w:sz="0" w:space="0" w:color="auto"/>
                            <w:left w:val="none" w:sz="0" w:space="0" w:color="auto"/>
                            <w:bottom w:val="none" w:sz="0" w:space="0" w:color="auto"/>
                            <w:right w:val="none" w:sz="0" w:space="0" w:color="auto"/>
                          </w:divBdr>
                          <w:divsChild>
                            <w:div w:id="1961060976">
                              <w:marLeft w:val="0"/>
                              <w:marRight w:val="0"/>
                              <w:marTop w:val="0"/>
                              <w:marBottom w:val="0"/>
                              <w:divBdr>
                                <w:top w:val="none" w:sz="0" w:space="0" w:color="auto"/>
                                <w:left w:val="none" w:sz="0" w:space="0" w:color="auto"/>
                                <w:bottom w:val="none" w:sz="0" w:space="0" w:color="auto"/>
                                <w:right w:val="none" w:sz="0" w:space="0" w:color="auto"/>
                              </w:divBdr>
                              <w:divsChild>
                                <w:div w:id="19610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domas</dc:creator>
  <cp:keywords/>
  <dc:description/>
  <cp:lastModifiedBy>domas</cp:lastModifiedBy>
  <cp:revision>2</cp:revision>
  <dcterms:created xsi:type="dcterms:W3CDTF">2023-08-31T12:16:00Z</dcterms:created>
  <dcterms:modified xsi:type="dcterms:W3CDTF">2023-08-31T12:16:00Z</dcterms:modified>
</cp:coreProperties>
</file>